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1448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(резолютивная часть постановления 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оглашена 20.10.2025)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должностного лица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В.В., защитника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Шеметова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ст. 12.34 КоАП РФ в отношении должностного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(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Семенюка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Валентина Витальевича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27.02.1981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Щербовцы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Новоушицкого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р-на Хмельницкой обл.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гражданина РФ, зарегистрированного и проживающего по адресу: ХМАО - Югра, г. Сургут, ул. </w:t>
      </w:r>
      <w:r>
        <w:rPr>
          <w:rFonts w:ascii="Times New Roman" w:eastAsia="Times New Roman" w:hAnsi="Times New Roman" w:cs="Times New Roman"/>
          <w:sz w:val="25"/>
          <w:szCs w:val="25"/>
        </w:rPr>
        <w:t>Чехова,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кв. </w:t>
      </w:r>
      <w:r>
        <w:rPr>
          <w:rFonts w:ascii="Times New Roman" w:eastAsia="Times New Roman" w:hAnsi="Times New Roman" w:cs="Times New Roman"/>
          <w:sz w:val="25"/>
          <w:szCs w:val="25"/>
        </w:rPr>
        <w:t>202,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паспорт серия </w:t>
      </w:r>
      <w:r>
        <w:rPr>
          <w:rFonts w:ascii="Times New Roman" w:eastAsia="Times New Roman" w:hAnsi="Times New Roman" w:cs="Times New Roman"/>
          <w:sz w:val="25"/>
          <w:szCs w:val="25"/>
        </w:rPr>
        <w:t>6704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013286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установлено,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Семенюк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должностным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проведению дорожных работ улично-дорожной сети п.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допустило 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я п. 6.2.4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6.2.1 ГОСТ Р 50597-2017,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Толстого вблизи строения 5 А дорожные знаки опрокинуты: 1.25, 6.18.3, 6.8.1, дорожный знак отвернут от проезжей части: 6.18.2, отсутствует дорожный знак: 6.8.1, вместо дорожного знака 6.18.2 установлен 6.18.3, деформирован дорожный знак 1.25;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ул. Горького вблизи строения 1 отсутствует дорожный знак 1.25; - на ул. Некрасова вблизи строения 4 дорожный знак отвернут от проезжей части 6.18.2, вместо дорожного знака 6.18.3 установлен 6.18.2,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п. 5.1.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52289-2019,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«Основных положений по допуску транспортных средств к эксплуатации и обязанности должностных лиц по обеспечению безопасности </w:t>
      </w:r>
      <w:r>
        <w:rPr>
          <w:rFonts w:ascii="Times New Roman" w:eastAsia="Times New Roman" w:hAnsi="Times New Roman" w:cs="Times New Roman"/>
          <w:sz w:val="26"/>
          <w:szCs w:val="26"/>
        </w:rPr>
        <w:t>дорожного движения» Правил дорожного движения РФ, что в свою очередь создало угрозу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 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вину в совершенном правонарушении не признал, пояснил, что ремонтные работы производятся в центре </w:t>
      </w:r>
      <w:r>
        <w:rPr>
          <w:rFonts w:ascii="Times New Roman" w:eastAsia="Times New Roman" w:hAnsi="Times New Roman" w:cs="Times New Roman"/>
          <w:sz w:val="26"/>
          <w:szCs w:val="26"/>
        </w:rPr>
        <w:t>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где ходит много людей. Речь идет о временных знаках, которые постоянно кто-нибудь отворачивает, снимает. Могут дети перевернуть знак вверх ногами. Они постоянно за этим следят, но предотвратить это невозможно.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адвокат </w:t>
      </w:r>
      <w:r>
        <w:rPr>
          <w:rFonts w:ascii="Times New Roman" w:eastAsia="Times New Roman" w:hAnsi="Times New Roman" w:cs="Times New Roman"/>
          <w:sz w:val="26"/>
          <w:szCs w:val="26"/>
        </w:rPr>
        <w:t>Шеметов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 в судебном заседании с правонарушением не согласился, свою позицию мотивировал тем, что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его 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ненадлежащи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>
        <w:rPr>
          <w:rFonts w:ascii="Times New Roman" w:eastAsia="Times New Roman" w:hAnsi="Times New Roman" w:cs="Times New Roman"/>
          <w:sz w:val="26"/>
          <w:szCs w:val="26"/>
        </w:rPr>
        <w:t>ы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</w:t>
      </w:r>
      <w:r>
        <w:rPr>
          <w:rFonts w:ascii="Times New Roman" w:eastAsia="Times New Roman" w:hAnsi="Times New Roman" w:cs="Times New Roman"/>
          <w:sz w:val="26"/>
          <w:szCs w:val="26"/>
        </w:rPr>
        <w:t>госконтракту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его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нет обязанности обеспечивать безопасность дорожного движения. Данная обязанность возложена на Администрацию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согласно требованиям ГОСТ на устранение выявленных недостатков устанавливаются определенные сроки. Согласно п.6.1.16 Контракта у исполнителя есть срок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устранение замечаний заказчика в количестве 8 дней.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несмотря на отсутствие обязанности обеспечивать безопасность дорожного движения, по своей доброй воле заключил контракт с ИП </w:t>
      </w:r>
      <w:r>
        <w:rPr>
          <w:rFonts w:ascii="Times New Roman" w:eastAsia="Times New Roman" w:hAnsi="Times New Roman" w:cs="Times New Roman"/>
          <w:sz w:val="26"/>
          <w:szCs w:val="26"/>
        </w:rPr>
        <w:t>Завада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по установлению дорожных знаков. После выявления нарушений инспектором ДПС, все выявленные недостатки были устранены немедленно, в срок менее суток, что соответствует требованиям ГОСТ, а именно суточному сроку на устранение недостатков. Помимо этого, по мнению защитника не доказана вина юридического лица, доказательная база не соответствует требованиям КоАП РФ. Не соблюдена процедура инструментального обследования, в протоколе отсутствуют сведения о применении сертифицированных измерительных приборов, их метрологической поверке, использованной методике, числовые результаты измерений. Вся доказательная база сводится к визуальным наблюдениям, не подкрепленным обязательными по закону инструментальными измерениями и корректно оформленными процессуальными документами. В результате защитник просил прекратить производство по делу об административном правонарушении в связи с отсутствие состава административного правонарушения.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п.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ительства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hyperlink r:id="rId4" w:anchor="/document/71863360/entry/6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50597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установлено, что дороги и улицы должны быть обустроены дорожными знаками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54366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32945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изображения, символы и надписи, фотометрические и </w:t>
      </w:r>
      <w:r>
        <w:rPr>
          <w:rFonts w:ascii="Times New Roman" w:eastAsia="Times New Roman" w:hAnsi="Times New Roman" w:cs="Times New Roman"/>
          <w:sz w:val="26"/>
          <w:szCs w:val="26"/>
        </w:rPr>
        <w:t>колометрические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характеристики которых должны соответствовать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4564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52290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знаками переменной информации -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484542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32865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Знаки должны быть установлены по ГОСТ Р 52289 в соответствии с утвержденным проектом (схемой)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дорожного движения. Опоры дорожных знаков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дорогах </w:t>
      </w:r>
      <w:r>
        <w:rPr>
          <w:rFonts w:ascii="Times New Roman" w:eastAsia="Times New Roman" w:hAnsi="Times New Roman" w:cs="Times New Roman"/>
          <w:sz w:val="26"/>
          <w:szCs w:val="26"/>
        </w:rPr>
        <w:t>должны соответствовать требованиям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66769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32948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Кроме того,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6.2.4 </w:t>
      </w:r>
      <w:r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50597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определено, что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орожные знаки и знаки переменной информации не должны иметь дефектов, указанных в таблице Б.1 приложения Б. </w:t>
      </w:r>
      <w:r>
        <w:rPr>
          <w:rFonts w:ascii="Times New Roman" w:eastAsia="Times New Roman" w:hAnsi="Times New Roman" w:cs="Times New Roman"/>
          <w:sz w:val="26"/>
          <w:szCs w:val="26"/>
        </w:rPr>
        <w:t>Устранение дефектов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осуществляют в сроки, приведенные в таблице 6.1.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п. 5.1.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52289-2019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знаки устанавливают справа от проезжей части или над нею, вне обочины (при ее наличии) так, чтобы их лицевая поверхность была обращена в сторону прямого направления движения, за исключением случаев, оговоренных настоящим стандартом. Опоры дорожных знаков не должны мешать передвигаться лицам в инвалидных колясках.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5"/>
          <w:szCs w:val="25"/>
        </w:rPr>
        <w:t>Семенюка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приказа № 8, копией решения № 3,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контракта на выполнение работ;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инструментального обследования;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видеозаписью;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решением о проведении постоянного рейда;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схемы организации дорожного движения; </w:t>
      </w:r>
      <w:r>
        <w:rPr>
          <w:rFonts w:ascii="Times New Roman" w:eastAsia="Times New Roman" w:hAnsi="Times New Roman" w:cs="Times New Roman"/>
          <w:sz w:val="26"/>
          <w:szCs w:val="26"/>
        </w:rPr>
        <w:t>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принимает доводы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и его 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Шеметова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 и не усматривает оснований для прекращения производства по делу об административном правонарушении по следующим основаниям.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1.1, 1.2 Контракта на выполнение работ по капитальному ремонту магистральных сетей ТВС от 04.04.2025 № Ф.2025.013612, Подрядчик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обязуется своевременно выполнить работы по капитальному ремонту магистральных сетей ТВС в </w:t>
      </w:r>
      <w:r>
        <w:rPr>
          <w:rFonts w:ascii="Times New Roman" w:eastAsia="Times New Roman" w:hAnsi="Times New Roman" w:cs="Times New Roman"/>
          <w:sz w:val="26"/>
          <w:szCs w:val="26"/>
        </w:rPr>
        <w:t>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района. Работы выполняются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законодательства РФ, технических регламентов, СП, ГОСТ, </w:t>
      </w:r>
      <w:r>
        <w:rPr>
          <w:rFonts w:ascii="Times New Roman" w:eastAsia="Times New Roman" w:hAnsi="Times New Roman" w:cs="Times New Roman"/>
          <w:sz w:val="26"/>
          <w:szCs w:val="26"/>
        </w:rPr>
        <w:t>СанПин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иными нормами и правилами, предусмотренными для данных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п.2.1 Контракта Подрядчик обеспечивает за свой счет, в том числе ограждение строительной площадки, в темное время суток сигнальное ограждение красными фонарями, светоотражающей лентой. При размещении материалов, специализированной техники и оборудования обеспечить беспрепятственное и безопасное движение людей и автотранспорта на территории объекта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23-36).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схеме организации дорожного движения при производстве работ по капитальному ремонту магистральных сетей ТВС составленной, утвержденной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и согласованной с ОГИБДД ОМВД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установлено месторасположение дорожных знаков, их вид и количество вокруг объекта проведения ремонтных работ.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и его должностные лица являются ответственными лицами за организацию безопасности дорожного движения при проведении вышеуказанных ремонтных работ. Именно в этой связи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был заключен договор оказания услуг по установке дорожных знаков и их содержание от 01.06.2025 №17 с ИП </w:t>
      </w:r>
      <w:r>
        <w:rPr>
          <w:rFonts w:ascii="Times New Roman" w:eastAsia="Times New Roman" w:hAnsi="Times New Roman" w:cs="Times New Roman"/>
          <w:sz w:val="26"/>
          <w:szCs w:val="26"/>
        </w:rPr>
        <w:t>Завада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на возмездной основе, стоимость по договору составила 80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 Соответственно, доводы защитника о «доброй воле» Общества при установлении временных дорожных знаков суд признает несостоятельными.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Представленный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Семенюком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В.В. копии приказа о назначении ответственного за выполнением работ по капитальному ремонту магистральных сетей ТВС Филоненко М.С. не свидетельствует о том, что именно он является ответственным за обеспечение безопасности дорожного движения на объекте во </w:t>
      </w:r>
      <w:r>
        <w:rPr>
          <w:rFonts w:ascii="Times New Roman" w:eastAsia="Times New Roman" w:hAnsi="Times New Roman" w:cs="Times New Roman"/>
          <w:sz w:val="26"/>
          <w:szCs w:val="26"/>
        </w:rPr>
        <w:t>время проведения ремонтных работ. Более того, назначение Филоненко М.С. ответственным за выполнением работ по капитальному ремонту магистральных сетей ТВС, не снимает ответственность с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>» и его руководителя за ненадлежащую организацию безопасности дорожного движения при проведении ремонтных работ.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инструментального обследования от 08.09.2025№08/9 во время проведения постоянного рейда в области безопасности дорожного движения старшим государственным инспектором дорожного надзора ОГИБДД ОМВД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Шпиневым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Д.Е. с использованием цифрового фотоаппарата </w:t>
      </w:r>
      <w:r>
        <w:rPr>
          <w:rFonts w:ascii="Times New Roman" w:eastAsia="Times New Roman" w:hAnsi="Times New Roman" w:cs="Times New Roman"/>
          <w:sz w:val="26"/>
          <w:szCs w:val="26"/>
        </w:rPr>
        <w:t>HUAWEI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были выявлены нарушения требований ГОСТ Р 50597-2017 и ГОСТ Р 52289-2019 при установке дорожных знаков в месте проведения ремонтных работ 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СтройГид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Выявленные нарушения зафиксированы на видеозаписи, приобщенной к протоколу. В ходе исследования видеозаписи в судебном заседании все вышеуказанные нарушения ГОСТ нашли свое объективное подтверждение. По мнению суда, все выявленные нарушения, в виде отсутствия, деформации знаков, либо их несоответствие схеме, согласованной с ГИБДД, являются явными и очевидными, не требующими какого-либо инструментального измерения, вопреки доводам защитника. </w:t>
      </w:r>
      <w:r>
        <w:rPr>
          <w:rFonts w:ascii="Times New Roman" w:eastAsia="Times New Roman" w:hAnsi="Times New Roman" w:cs="Times New Roman"/>
          <w:sz w:val="26"/>
          <w:szCs w:val="26"/>
        </w:rPr>
        <w:t>При этом, установленные ГОСТ сроки устранения выявленных нарушений не освобождают виновных лиц от привлечения к установленной законом ответственности за допущение таких нарушений.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Семенюка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Семенюка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в виде административного штрафа в размере менее минимального размера, в соответствии с ч.3.2, 3.3 ст.4.1 КоАП РФ,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Семенюка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Валентина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12.34 КоАП РФ и подвергнуть наказанию в виде административного штрафа в размере 20 000 (двадцати тысяч) 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144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20"/>
          <w:szCs w:val="20"/>
        </w:rPr>
        <w:t>163</w:t>
      </w:r>
      <w:r>
        <w:rPr>
          <w:rFonts w:ascii="Times New Roman" w:eastAsia="Times New Roman" w:hAnsi="Times New Roman" w:cs="Times New Roman"/>
          <w:sz w:val="20"/>
          <w:szCs w:val="20"/>
        </w:rPr>
        <w:t>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</w:t>
      </w:r>
      <w:r>
        <w:rPr>
          <w:rFonts w:ascii="Times New Roman" w:eastAsia="Times New Roman" w:hAnsi="Times New Roman" w:cs="Times New Roman"/>
          <w:sz w:val="20"/>
          <w:szCs w:val="20"/>
        </w:rPr>
        <w:t>30020016000</w:t>
      </w:r>
      <w:r>
        <w:rPr>
          <w:rFonts w:ascii="Times New Roman" w:eastAsia="Times New Roman" w:hAnsi="Times New Roman" w:cs="Times New Roman"/>
          <w:sz w:val="20"/>
          <w:szCs w:val="20"/>
        </w:rPr>
        <w:t>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счет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40102810245370000007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31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</w:t>
      </w:r>
      <w:r>
        <w:rPr>
          <w:rFonts w:ascii="Times New Roman" w:eastAsia="Times New Roman" w:hAnsi="Times New Roman" w:cs="Times New Roman"/>
          <w:sz w:val="20"/>
          <w:szCs w:val="20"/>
        </w:rPr>
        <w:t>лачен в размере 75 процентов 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суммы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д.9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